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МИНИСТЕРСТВО ЭНЕРГЕТИКИ РОССИЙСКОЙ ФЕДЕРАЦИИ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ПИСЬМО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от 25 августа 2017 г. N АН-9414/09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О ЕДИНЫХ РЕКОМЕНДАЦИЯХ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ПО ПОРЯДКУ ПЕРЕДАЧИ ОБЪЕКТОВ ЭЛЕКТРОСЕТЕВОГО ХОЗЯЙСТВА СНТ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НА БАЛАНС ТСО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 xml:space="preserve">Во исполнение поручений Правительства Российской Федерации от 31 августа 2016 г. N ДМ-П11-5236 (пункт 3), от 20 декабря 2016 г. N АД-П9-7781 информируем о разработке Минэнерго России совместно с Минэкономразвития России и ФАС России единых рекомендаций по порядку передачи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хозяйства, принадлежащих садоводческим, огородническим и дачным некоммерческим объединениям граждан, на баланс территориальных сетевых организаций на добровольной основе (далее - рекомендации</w:t>
      </w:r>
      <w:proofErr w:type="gramEnd"/>
      <w:r w:rsidRPr="008F0F84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СНТ, ТСО), при участии органов исполнительной власти Тюменской и Московской областей, а также ПАО "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Россети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>".</w:t>
      </w:r>
      <w:proofErr w:type="gramEnd"/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В настоящее время продолжает оставаться острым вопрос обеспечения надежности снабжения потребителей, расположенных на территориях СНТ, электрической энергией, а также соблюдения требований к ее качеству. Практика показывает, что зачастую объекты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СНТ предельно изношены, находятся в ненормативном техническом состоянии и требуют проведения реконструкции и выполнения мероприятий, направленных на обеспечение </w:t>
      </w: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соблюдения требований правил устройства электроустановок</w:t>
      </w:r>
      <w:proofErr w:type="gramEnd"/>
      <w:r w:rsidRPr="008F0F84">
        <w:rPr>
          <w:rFonts w:ascii="Arial" w:hAnsi="Arial" w:cs="Arial"/>
          <w:color w:val="000000"/>
          <w:sz w:val="28"/>
          <w:szCs w:val="28"/>
        </w:rPr>
        <w:t xml:space="preserve"> и правил технической эксплуатации, требований к границам охранных зон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и организации системы учета электрической энергии.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 xml:space="preserve">В соответствии с изложенным просим довести рекомендации до СНТ и ТСО вашего региона и совместно с органами местного самоуправления оказать содействие СНТ, изъявившим желание передать свои объекты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на баланс ТСО, в том числе по оформлению (восстановлению) документов, подтверждающих право собственности или иное законное право на объекты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и земельные участки, на которых они расположены, а также обеспечить</w:t>
      </w:r>
      <w:proofErr w:type="gramEnd"/>
      <w:r w:rsidRPr="008F0F84">
        <w:rPr>
          <w:rFonts w:ascii="Arial" w:hAnsi="Arial" w:cs="Arial"/>
          <w:color w:val="000000"/>
          <w:sz w:val="28"/>
          <w:szCs w:val="28"/>
        </w:rPr>
        <w:t xml:space="preserve"> учет в полном объеме экономически обоснованных расходов на эксплуатацию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СНТ, переданных на баланс ТСО, при установлении тарифов на оказание услуг по передаче электрической энергии.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lastRenderedPageBreak/>
        <w:t>А.В.НОВАК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Приложение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ЕДИНЫЕ РЕКОМЕНДАЦИИ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ПО ПОРЯДКУ ПЕРЕДАЧИ ОБЪЕКТОВ ЭЛЕКТРОСЕТЕВОГО ХОЗЯЙСТВА,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ПРИНАДЛЕЖАЩИХ САДОВОДЧЕСКИМ, ОГОРОДНИЧЕСКИМ И ДАЧНЫМ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НЕКОММЕРЧЕСКИМ ОБЪЕДИНЕНИЯМ ГРАЖДАН НА БАЛАНС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ТЕРРИТОРИАЛЬНЫХ СЕТЕВЫХ ОРГАНИЗАЦИЙ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НА ДОБРОВОЛЬНОЙ ОСНОВЕ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 xml:space="preserve">Единые рекомендации по порядку передачи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хозяйства, принадлежащих садоводческим, огородническим и дачным некоммерческим объединениям граждан на баланс территориальных сетевых организаций на добровольной основе (далее - рекомендации, СНТ, ТСО) разработаны в целях содействия передаче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СНТ на баланс ТСО и повышения надежности электроснабжения потребителей, а также качества электрической энергии в соответствии с требованиями технических регламентов и иными обязательными требованиями.</w:t>
      </w:r>
      <w:proofErr w:type="gramEnd"/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Рекомендуемая последовательность действий при передаче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 xml:space="preserve">объектов </w:t>
      </w:r>
      <w:proofErr w:type="spellStart"/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b/>
          <w:bCs/>
          <w:color w:val="000000"/>
          <w:sz w:val="28"/>
          <w:szCs w:val="28"/>
        </w:rPr>
        <w:t xml:space="preserve"> хозяйства СНТ на баланс ТСО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1. Направление СНТ в адрес ТСО, к электрическим сетям </w:t>
      </w: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которой</w:t>
      </w:r>
      <w:proofErr w:type="gramEnd"/>
      <w:r w:rsidRPr="008F0F84">
        <w:rPr>
          <w:rFonts w:ascii="Arial" w:hAnsi="Arial" w:cs="Arial"/>
          <w:color w:val="000000"/>
          <w:sz w:val="28"/>
          <w:szCs w:val="28"/>
        </w:rPr>
        <w:t xml:space="preserve"> технологически присоединены объекты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СНТ, предложения о приобретении электрических сетей, расположенных в границах СНТ.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Предложение направляется в произвольной форме с указанием сведений и характеристик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(протяженность воздушных и кабельных линий электропередачи по классам напряжения, количество и номинальная мощность силовых трансформаторов и др.), контактной информации, с приложением копий документов (при их наличии), указанных в приложении N 1 к рекомендациям.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2. Проведение совместного выездного технического осмотра электрических сетей СНТ с инвентаризацией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 СНТ: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пригодных для эксплуатации без необходимости проведения их реконструкции;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lastRenderedPageBreak/>
        <w:t>- пригодных для эксплуатации при условии возможности их реконструкции;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- непригодных </w:t>
      </w: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для эксплуатации в связи с невозможностью проведения их реконструкции из-за расположения объектов на земельных участках</w:t>
      </w:r>
      <w:proofErr w:type="gramEnd"/>
      <w:r w:rsidRPr="008F0F84">
        <w:rPr>
          <w:rFonts w:ascii="Arial" w:hAnsi="Arial" w:cs="Arial"/>
          <w:color w:val="000000"/>
          <w:sz w:val="28"/>
          <w:szCs w:val="28"/>
        </w:rPr>
        <w:t xml:space="preserve"> общего пользования в труднодоступных и недоступных местах, на земельных участках, находящихся в собственности третьих лиц;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бесхозяйных сетей, расположенных в границах СНТ.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При техническом осмотре, как правило, оценивается состояние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в соответствии с приложением N 2 к настоящим рекомендациям.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3. </w:t>
      </w: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Формирование перечня электрических сетей СНТ, возможных к передаче на баланс ТСО, исключающего непригодные для эксплуатации сети, и поставленные на учет в качестве бесхозяйных.</w:t>
      </w:r>
      <w:proofErr w:type="gramEnd"/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4. Направление рекомендаций СНТ со стороны ТСО в отношении сетей, непригодных для эксплуатации на момент обследования, в зависимости от причин (указание объектов, для обслуживания которых должны быть выделены земельные участки, указание бесхозяйных объектов, для которых необходимо оформление прав).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5. Определение ТСО формы гражданско-правового договора, предусматривающего передачу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 СНТ на баланс ТСО (договор дарения, договор долгосрочной аренды, договор купли-продажи, договор купли-продажи будущего недвижимого имущества).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6. Принятие СНТ решения о проведении общего собрания членов (собрания уполномоченных) СНТ способом, установленным</w:t>
      </w:r>
      <w:r w:rsidRPr="008F0F8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4" w:tooltip="Федеральный закон от 15.04.1998 N 66-ФЗ  &quot;О садоводческих, огороднических и дачных некоммерческих объединениях граждан&quot;" w:history="1">
        <w:r w:rsidRPr="008F0F84">
          <w:rPr>
            <w:rStyle w:val="a4"/>
            <w:rFonts w:ascii="Arial" w:hAnsi="Arial" w:cs="Arial"/>
            <w:color w:val="164F6A"/>
            <w:sz w:val="28"/>
            <w:szCs w:val="28"/>
          </w:rPr>
          <w:t>Федеральным законом от 15 апреля 1998 г. N 66-ФЗ</w:t>
        </w:r>
      </w:hyperlink>
      <w:r w:rsidRPr="008F0F8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8F0F84">
        <w:rPr>
          <w:rFonts w:ascii="Arial" w:hAnsi="Arial" w:cs="Arial"/>
          <w:color w:val="000000"/>
          <w:sz w:val="28"/>
          <w:szCs w:val="28"/>
        </w:rPr>
        <w:t>"О садоводческих, огороднических и дачных некоммерческих объединениях граждан".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7. Проведение общего собрания членов (собрания уполномоченных) СНТ.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Повестка дня общего собрания членов (собрания уполномоченных) определяется индивидуально для каждого СНТ в зависимости </w:t>
      </w: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от</w:t>
      </w:r>
      <w:proofErr w:type="gramEnd"/>
      <w:r w:rsidRPr="008F0F84">
        <w:rPr>
          <w:rFonts w:ascii="Arial" w:hAnsi="Arial" w:cs="Arial"/>
          <w:color w:val="000000"/>
          <w:sz w:val="28"/>
          <w:szCs w:val="28"/>
        </w:rPr>
        <w:t>: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вида собственности отчуждаемого имущества (совместная собственность членов СНТ или собственность СНТ как юридического лица);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lastRenderedPageBreak/>
        <w:t xml:space="preserve">- вида оснований использования земельных участков, на которых расположены отчуждаемые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электросетевые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объекты (собственность или постоянное бессрочное пользование);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видов отчуждаемых объектов недвижимости (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электросетевые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объекты и земельные участки под ними или только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электросетевые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объекты).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ТСО проводит консультативное сопровождение формирования повестки дня и проекта протокола общего собрания членов (собрания уполномоченных) СНТ с целью указания в протоколе всех существенных условий договора, предусматривающего передачу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 СНТ на баланс ТСО, а также указания действий, которые необходимо провести СНТ для заключения такого договора.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8. Проведение СНТ действий и работ, необходимых для заключения договора передачи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 СНТ на баланс ТСО, включающих (при необходимости):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- совершение действий, необходимых для оформления права собственности на земельные участки под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электросетевыми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объектами;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- по бесхозяйным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электросетевым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объектам - оформление прав собственности, в том числе в судебном порядке;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- по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электросетевым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объектам, непригодным для эксплуатации - осуществление комплекса мероприятий по приведению их к состоянию, пригодному для дальнейшей эксплуатации или создание условий для возможности проведения их реконструкции (в случае непригодного для эксплуатации размещения объектов).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Предметом договором купли-продажи будущего недвижимого имущества должна являться передача ТСО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объектов, права на которые не зарегистрированы. Условиями данного договора предусматриваются: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- обязательства СНТ по регистрации прав собственности на передаваемые объекты и выделению земельных участков под объектами (при отсутствии прав на земельные участки под объектами предусматривается также регистрация прав на земельные участки);</w:t>
      </w:r>
      <w:proofErr w:type="gramEnd"/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обязательства СНТ по последующей передаче на баланс ТСО зарегистрированных объектов и передаче во владение и (или) пользование ТСО образованных под этими объектами земельных участков.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lastRenderedPageBreak/>
        <w:t xml:space="preserve">9. Направление в адрес ТСО протоколов общего собрания членов (собрания уполномоченных) СНТ, документов и сведений, необходимых для заключения договора, предусматривающего передачу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 СНТ на баланс ТСО.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10. Подготовка ТСО пакета документов по сделке.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11. Заключение договора, предусматривающего передачу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 СНТ на баланс ТСО.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12. При заключении договора купли-продажи будущего недвижимого имущества - выполнение со стороны СНТ и ТСО условий, предусмотренных данным договором.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13. Подписание Акта приема-передачи недвижимого имущества (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электросетевых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объектов и земельных участков под ними).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14. Оформление прав ТСО на приобретенные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электросетевые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объекты и установление охранных зон в соответствии с</w:t>
      </w:r>
      <w:r w:rsidRPr="008F0F8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hyperlink r:id="rId5" w:tooltip="Постановление Правительства РФ от 24.02.2009 N 160  &quot;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&quot;..." w:history="1">
        <w:r w:rsidRPr="008F0F84">
          <w:rPr>
            <w:rStyle w:val="a4"/>
            <w:rFonts w:ascii="Arial" w:hAnsi="Arial" w:cs="Arial"/>
            <w:color w:val="164F6A"/>
            <w:sz w:val="28"/>
            <w:szCs w:val="28"/>
          </w:rPr>
          <w:t>постановлением Правительства Российской Федерации от 24 февраля 2009 г. N 160</w:t>
        </w:r>
      </w:hyperlink>
      <w:r w:rsidRPr="008F0F84">
        <w:rPr>
          <w:rStyle w:val="apple-converted-space"/>
          <w:rFonts w:ascii="Arial" w:eastAsiaTheme="majorEastAsia" w:hAnsi="Arial" w:cs="Arial"/>
          <w:color w:val="000000"/>
          <w:sz w:val="28"/>
          <w:szCs w:val="28"/>
        </w:rPr>
        <w:t> </w:t>
      </w:r>
      <w:r w:rsidRPr="008F0F84">
        <w:rPr>
          <w:rFonts w:ascii="Arial" w:hAnsi="Arial" w:cs="Arial"/>
          <w:color w:val="000000"/>
          <w:sz w:val="28"/>
          <w:szCs w:val="28"/>
        </w:rPr>
        <w:t xml:space="preserve">"О порядке установления охранных зон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зон".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Приложение N 1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РЕКОМЕНДУЕМЫЙ ПЕРЕЧЕНЬ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ДОКУМЕНТОВ, НАПРАВЛЯЕМЫЙ СНТ В ТСО ПРИ ПЕРЕДАЧЕ ОБЪЕКТОВ</w:t>
      </w:r>
      <w:r w:rsidRPr="008F0F84">
        <w:rPr>
          <w:rFonts w:ascii="Arial" w:hAnsi="Arial" w:cs="Arial"/>
          <w:b/>
          <w:bCs/>
          <w:color w:val="000000"/>
          <w:sz w:val="28"/>
          <w:szCs w:val="28"/>
        </w:rPr>
        <w:br/>
        <w:t>ЭЛЕКТРОСЕТЕВОГО ХОЗЯЙСТВА НА БАЛАНС ТСО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1. Учредительные документы.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2. Свидетельство о государственной регистрации юридического лица, выписка из ЕГРЮЛ (дата выдачи не более 2 мес.).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3. Подтверждение полномочий единоличного исполнительного органа.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4. Акт разграничения балансовой принадлежности и эксплуатационной ответственности сторон, а при его отсутствии допускается предоставление следующих документов: акт допуска электроустановки в эксплуатацию, технические условия и акт их выполнения, договор на строительство с актами ввода объектов, паспорта на оборудование, проект и сметы, договор купли-продажи объекта, договор энергоснабжения.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5. Протокол общего собрания с решением о передаче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имущества в ТСО на праве собственности или ином законном праве </w:t>
      </w:r>
      <w:r w:rsidRPr="008F0F84">
        <w:rPr>
          <w:rFonts w:ascii="Arial" w:hAnsi="Arial" w:cs="Arial"/>
          <w:color w:val="000000"/>
          <w:sz w:val="28"/>
          <w:szCs w:val="28"/>
        </w:rPr>
        <w:lastRenderedPageBreak/>
        <w:t>согласно требованиям устава (приложения к протоколу: перечень передаваемого имущества, перечень фактически запитанных потребителей).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6. Документы, подтверждающие право собственности или иное законное право на объекты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7. Схема земельного участка СНТ с указанием расположения объектов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электросетевого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 xml:space="preserve"> хозяйства, а также точек технологического присоединения к сетям ТСО.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right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Приложение N 2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ОЦЕНКА СОСТОЯНИЯ ОБЪЕКТОВ ЭЛЕКТРОСЕТЕВОГО ХОЗЯЙСТВА СНТ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Воздушные линии электропередачи 0,4 и 6 - 20 кВ: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деревянных, железобетонных и металлических опор (загнивание древесины, растрескивание бетона стоек и приставок, состояние арматуры, состояние оттяжек и пр.);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пролетов воздушных линий (длинные пролеты, несоблюдение габарита провода, несоблюдение расстояния от провода до строений, несоблюдение расстояния от проезжей части дорог);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трассы воздушных линий (ширина трассы, заросли древесно-кустарниковой растительности);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- состояние неизолированного провода (скрутки, соединения, </w:t>
      </w:r>
      <w:proofErr w:type="spellStart"/>
      <w:r w:rsidRPr="008F0F84">
        <w:rPr>
          <w:rFonts w:ascii="Arial" w:hAnsi="Arial" w:cs="Arial"/>
          <w:color w:val="000000"/>
          <w:sz w:val="28"/>
          <w:szCs w:val="28"/>
        </w:rPr>
        <w:t>распушение</w:t>
      </w:r>
      <w:proofErr w:type="spellEnd"/>
      <w:r w:rsidRPr="008F0F84">
        <w:rPr>
          <w:rFonts w:ascii="Arial" w:hAnsi="Arial" w:cs="Arial"/>
          <w:color w:val="000000"/>
          <w:sz w:val="28"/>
          <w:szCs w:val="28"/>
        </w:rPr>
        <w:t>, обрывы проволок и т.д.);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самонесущего изолированного провода (СИП) (крепление, соединения, состояние изоляции и т.д.);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изоляторов (сколы, растрескивание изоляторов, неудовлетворительное состояние крюков и траверс);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 xml:space="preserve">- состояние грозозащитных устройств, заземляющих спусков и контуров заземления (отсутствие разрядников, ограничителей перенапряжения, искровых промежутков, отсутствие повторных заземлений на </w:t>
      </w:r>
      <w:proofErr w:type="gramStart"/>
      <w:r w:rsidRPr="008F0F84">
        <w:rPr>
          <w:rFonts w:ascii="Arial" w:hAnsi="Arial" w:cs="Arial"/>
          <w:color w:val="000000"/>
          <w:sz w:val="28"/>
          <w:szCs w:val="28"/>
        </w:rPr>
        <w:t>ВЛ</w:t>
      </w:r>
      <w:proofErr w:type="gramEnd"/>
      <w:r w:rsidRPr="008F0F84">
        <w:rPr>
          <w:rFonts w:ascii="Arial" w:hAnsi="Arial" w:cs="Arial"/>
          <w:color w:val="000000"/>
          <w:sz w:val="28"/>
          <w:szCs w:val="28"/>
        </w:rPr>
        <w:t xml:space="preserve"> 0,4 кВ);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разъединителей и секционирующих выключателей ВЛ.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Кабельные линии электропередачи 0,4 и 6 - 20 кВ: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lastRenderedPageBreak/>
        <w:t>- состояние кабеля и кабельных муфт (отсутствие исполнительной и технической документации, схем прокладки, результатов высоковольтных испытаний кабельной изоляции).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F0F84">
        <w:rPr>
          <w:rFonts w:ascii="Arial" w:hAnsi="Arial" w:cs="Arial"/>
          <w:b/>
          <w:bCs/>
          <w:color w:val="000000"/>
          <w:sz w:val="28"/>
          <w:szCs w:val="28"/>
        </w:rPr>
        <w:t>Трансформаторные пункты 6 - 20/0,4 кВ: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охранной зоны ТП (заросли древесно-кустарниковой растительности);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ограждения и конструкций ТП (отсутствие ограждения, площадок обслуживания, состояние фундамента, коррозия конструкций и корпусов, отсутствие дверей и замков);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трансформатора (отсутствие исполнительной и технической документации, результатов высоковольтных испытаний кабельной изоляции и анализа масла, низкий уровень масла, протечки масла, коррозия корпуса);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оборудования РУ 6 - 20 кВ и РУ 0,4 кВ (вводов, проходных и опорных изоляторов, токоведущих шин, разъединителей, рубильников, автоматических выключателей, ограничителей перенапряжения, разрядников и пр.);</w:t>
      </w:r>
    </w:p>
    <w:p w:rsidR="008F0F84" w:rsidRPr="008F0F84" w:rsidRDefault="008F0F84" w:rsidP="008F0F84">
      <w:pPr>
        <w:pStyle w:val="sourcetag"/>
        <w:spacing w:before="240" w:beforeAutospacing="0" w:after="240" w:afterAutospacing="0"/>
        <w:rPr>
          <w:rFonts w:ascii="Arial" w:hAnsi="Arial" w:cs="Arial"/>
          <w:color w:val="000000"/>
          <w:sz w:val="28"/>
          <w:szCs w:val="28"/>
        </w:rPr>
      </w:pPr>
      <w:r w:rsidRPr="008F0F84">
        <w:rPr>
          <w:rFonts w:ascii="Arial" w:hAnsi="Arial" w:cs="Arial"/>
          <w:color w:val="000000"/>
          <w:sz w:val="28"/>
          <w:szCs w:val="28"/>
        </w:rPr>
        <w:t>- состояние контура заземления ТП 6 - 20/0,4 кВ.</w:t>
      </w:r>
    </w:p>
    <w:p w:rsidR="00402028" w:rsidRPr="008F0F84" w:rsidRDefault="00402028">
      <w:pPr>
        <w:rPr>
          <w:sz w:val="28"/>
          <w:szCs w:val="28"/>
        </w:rPr>
      </w:pPr>
    </w:p>
    <w:sectPr w:rsidR="00402028" w:rsidRPr="008F0F84" w:rsidSect="0040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F0F84"/>
    <w:rsid w:val="000043BA"/>
    <w:rsid w:val="000044EF"/>
    <w:rsid w:val="00042DF7"/>
    <w:rsid w:val="000566E1"/>
    <w:rsid w:val="00090243"/>
    <w:rsid w:val="0009136A"/>
    <w:rsid w:val="00091CF0"/>
    <w:rsid w:val="000A6C17"/>
    <w:rsid w:val="000B4F59"/>
    <w:rsid w:val="000C730D"/>
    <w:rsid w:val="000D6EB7"/>
    <w:rsid w:val="000E235D"/>
    <w:rsid w:val="00100C87"/>
    <w:rsid w:val="00120762"/>
    <w:rsid w:val="00135861"/>
    <w:rsid w:val="00146A9F"/>
    <w:rsid w:val="001C02E8"/>
    <w:rsid w:val="001F2C8B"/>
    <w:rsid w:val="00201F56"/>
    <w:rsid w:val="002136E4"/>
    <w:rsid w:val="002172A8"/>
    <w:rsid w:val="00217A96"/>
    <w:rsid w:val="00275E94"/>
    <w:rsid w:val="00276A40"/>
    <w:rsid w:val="002D6FEA"/>
    <w:rsid w:val="002F2F9A"/>
    <w:rsid w:val="002F7608"/>
    <w:rsid w:val="0030485B"/>
    <w:rsid w:val="003145E4"/>
    <w:rsid w:val="00322F1A"/>
    <w:rsid w:val="00326937"/>
    <w:rsid w:val="00335440"/>
    <w:rsid w:val="00340FAF"/>
    <w:rsid w:val="00363D24"/>
    <w:rsid w:val="003B215A"/>
    <w:rsid w:val="003F1DC1"/>
    <w:rsid w:val="00402028"/>
    <w:rsid w:val="00411939"/>
    <w:rsid w:val="00422C4B"/>
    <w:rsid w:val="004362DF"/>
    <w:rsid w:val="00450A0F"/>
    <w:rsid w:val="004832B3"/>
    <w:rsid w:val="004A2FC0"/>
    <w:rsid w:val="004B7086"/>
    <w:rsid w:val="004F6D01"/>
    <w:rsid w:val="00506105"/>
    <w:rsid w:val="00557B51"/>
    <w:rsid w:val="005824D8"/>
    <w:rsid w:val="00590B70"/>
    <w:rsid w:val="005B115D"/>
    <w:rsid w:val="005B2ADE"/>
    <w:rsid w:val="00602723"/>
    <w:rsid w:val="0060375F"/>
    <w:rsid w:val="00611AAF"/>
    <w:rsid w:val="00622EA9"/>
    <w:rsid w:val="00644073"/>
    <w:rsid w:val="00655B59"/>
    <w:rsid w:val="00664E93"/>
    <w:rsid w:val="006710F4"/>
    <w:rsid w:val="00680AD4"/>
    <w:rsid w:val="00681904"/>
    <w:rsid w:val="006A75B3"/>
    <w:rsid w:val="006D00AB"/>
    <w:rsid w:val="006D45E7"/>
    <w:rsid w:val="006E7F5F"/>
    <w:rsid w:val="006F2177"/>
    <w:rsid w:val="00703531"/>
    <w:rsid w:val="007321D4"/>
    <w:rsid w:val="00734CC7"/>
    <w:rsid w:val="00741260"/>
    <w:rsid w:val="00745852"/>
    <w:rsid w:val="00760447"/>
    <w:rsid w:val="007838B3"/>
    <w:rsid w:val="007B36D0"/>
    <w:rsid w:val="007B703A"/>
    <w:rsid w:val="007C5C97"/>
    <w:rsid w:val="007D1CA6"/>
    <w:rsid w:val="007D6F59"/>
    <w:rsid w:val="007E60E4"/>
    <w:rsid w:val="007E7A13"/>
    <w:rsid w:val="007F4963"/>
    <w:rsid w:val="007F6D21"/>
    <w:rsid w:val="00810FA9"/>
    <w:rsid w:val="00825953"/>
    <w:rsid w:val="00836468"/>
    <w:rsid w:val="008448F7"/>
    <w:rsid w:val="008459EC"/>
    <w:rsid w:val="008501BD"/>
    <w:rsid w:val="00853DCC"/>
    <w:rsid w:val="00861A4F"/>
    <w:rsid w:val="00870CB4"/>
    <w:rsid w:val="00872C6A"/>
    <w:rsid w:val="00876B6F"/>
    <w:rsid w:val="00892C48"/>
    <w:rsid w:val="00897D70"/>
    <w:rsid w:val="008D6DD2"/>
    <w:rsid w:val="008F0F84"/>
    <w:rsid w:val="00901A10"/>
    <w:rsid w:val="0091504D"/>
    <w:rsid w:val="00921B4D"/>
    <w:rsid w:val="00930E4B"/>
    <w:rsid w:val="00954A2D"/>
    <w:rsid w:val="00955381"/>
    <w:rsid w:val="0096351C"/>
    <w:rsid w:val="009664D1"/>
    <w:rsid w:val="009878B3"/>
    <w:rsid w:val="009C70A8"/>
    <w:rsid w:val="00A012D1"/>
    <w:rsid w:val="00A20323"/>
    <w:rsid w:val="00A51FBB"/>
    <w:rsid w:val="00A53CF6"/>
    <w:rsid w:val="00A54C38"/>
    <w:rsid w:val="00A87443"/>
    <w:rsid w:val="00AA1A0B"/>
    <w:rsid w:val="00AA4497"/>
    <w:rsid w:val="00AC0AC0"/>
    <w:rsid w:val="00AE43FD"/>
    <w:rsid w:val="00B1298B"/>
    <w:rsid w:val="00B22772"/>
    <w:rsid w:val="00B51E34"/>
    <w:rsid w:val="00B60B5F"/>
    <w:rsid w:val="00C06297"/>
    <w:rsid w:val="00C0746A"/>
    <w:rsid w:val="00C10AA0"/>
    <w:rsid w:val="00C21115"/>
    <w:rsid w:val="00C31F6F"/>
    <w:rsid w:val="00C3285F"/>
    <w:rsid w:val="00C33514"/>
    <w:rsid w:val="00C373B0"/>
    <w:rsid w:val="00C438BA"/>
    <w:rsid w:val="00C50E3E"/>
    <w:rsid w:val="00C61013"/>
    <w:rsid w:val="00C73D08"/>
    <w:rsid w:val="00C740D5"/>
    <w:rsid w:val="00C9464F"/>
    <w:rsid w:val="00CC23EC"/>
    <w:rsid w:val="00CC4AE2"/>
    <w:rsid w:val="00CD16E9"/>
    <w:rsid w:val="00CD1C84"/>
    <w:rsid w:val="00CD777B"/>
    <w:rsid w:val="00CE6B88"/>
    <w:rsid w:val="00D0649D"/>
    <w:rsid w:val="00D072CC"/>
    <w:rsid w:val="00D736D3"/>
    <w:rsid w:val="00D81647"/>
    <w:rsid w:val="00D85077"/>
    <w:rsid w:val="00DA3EFE"/>
    <w:rsid w:val="00DD107C"/>
    <w:rsid w:val="00DD1147"/>
    <w:rsid w:val="00DD71C3"/>
    <w:rsid w:val="00DF0FEC"/>
    <w:rsid w:val="00E1691B"/>
    <w:rsid w:val="00E17446"/>
    <w:rsid w:val="00E23F3C"/>
    <w:rsid w:val="00E274BF"/>
    <w:rsid w:val="00E52CAF"/>
    <w:rsid w:val="00E54265"/>
    <w:rsid w:val="00E64773"/>
    <w:rsid w:val="00E7149B"/>
    <w:rsid w:val="00E95738"/>
    <w:rsid w:val="00EA6C95"/>
    <w:rsid w:val="00EB0429"/>
    <w:rsid w:val="00EC0D59"/>
    <w:rsid w:val="00EC3B78"/>
    <w:rsid w:val="00EC7B04"/>
    <w:rsid w:val="00ED01E7"/>
    <w:rsid w:val="00ED20F9"/>
    <w:rsid w:val="00F047B1"/>
    <w:rsid w:val="00F07777"/>
    <w:rsid w:val="00F248ED"/>
    <w:rsid w:val="00F2726C"/>
    <w:rsid w:val="00F3580D"/>
    <w:rsid w:val="00F763E8"/>
    <w:rsid w:val="00F76C85"/>
    <w:rsid w:val="00FB4143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C7"/>
  </w:style>
  <w:style w:type="paragraph" w:styleId="1">
    <w:name w:val="heading 1"/>
    <w:basedOn w:val="a"/>
    <w:next w:val="a"/>
    <w:link w:val="10"/>
    <w:uiPriority w:val="9"/>
    <w:qFormat/>
    <w:rsid w:val="00734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4C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4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4C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734CC7"/>
    <w:pPr>
      <w:spacing w:after="0" w:line="240" w:lineRule="auto"/>
    </w:pPr>
  </w:style>
  <w:style w:type="paragraph" w:customStyle="1" w:styleId="sourcetag">
    <w:name w:val="source__tag"/>
    <w:basedOn w:val="a"/>
    <w:rsid w:val="008F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F84"/>
  </w:style>
  <w:style w:type="character" w:styleId="a4">
    <w:name w:val="Hyperlink"/>
    <w:basedOn w:val="a0"/>
    <w:uiPriority w:val="99"/>
    <w:semiHidden/>
    <w:unhideWhenUsed/>
    <w:rsid w:val="008F0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zanpa.ru/pravitelstvo-rf-postanovlenie-n160-ot24022009-h1282234/" TargetMode="External"/><Relationship Id="rId4" Type="http://schemas.openxmlformats.org/officeDocument/2006/relationships/hyperlink" Target="https://bazanpa.ru/gd-rf-zakon-n66-fz-ot15041998-h4124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1862</Words>
  <Characters>10616</Characters>
  <Application>Microsoft Office Word</Application>
  <DocSecurity>0</DocSecurity>
  <Lines>88</Lines>
  <Paragraphs>24</Paragraphs>
  <ScaleCrop>false</ScaleCrop>
  <Company>Home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2017-09-11T19:13:00Z</cp:lastPrinted>
  <dcterms:created xsi:type="dcterms:W3CDTF">2017-09-11T19:12:00Z</dcterms:created>
  <dcterms:modified xsi:type="dcterms:W3CDTF">2017-09-11T19:14:00Z</dcterms:modified>
</cp:coreProperties>
</file>